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D970" w14:textId="77777777" w:rsidR="0080433D" w:rsidRPr="001D2D75" w:rsidRDefault="0080433D" w:rsidP="0080433D">
      <w:pPr>
        <w:spacing w:before="60" w:after="60"/>
        <w:rPr>
          <w:rFonts w:ascii="Calibri" w:hAnsi="Calibri" w:cs="Calibri"/>
          <w:b/>
          <w:sz w:val="28"/>
          <w:szCs w:val="24"/>
          <w:lang w:val="fr-FR"/>
        </w:rPr>
      </w:pPr>
      <w:r w:rsidRPr="001D2D75">
        <w:rPr>
          <w:rFonts w:ascii="Calibri" w:hAnsi="Calibri" w:cs="Calibri"/>
          <w:b/>
          <w:sz w:val="28"/>
          <w:szCs w:val="24"/>
          <w:lang w:val="fr-FR"/>
        </w:rPr>
        <w:t>Introduction pratique au poste de travail</w:t>
      </w:r>
    </w:p>
    <w:p w14:paraId="439D9067" w14:textId="77777777" w:rsidR="0080433D" w:rsidRPr="001D2D75" w:rsidRDefault="0080433D" w:rsidP="0080433D">
      <w:pPr>
        <w:spacing w:before="60" w:after="60"/>
        <w:rPr>
          <w:rFonts w:ascii="Calibri" w:hAnsi="Calibri" w:cs="Calibri"/>
          <w:b/>
          <w:sz w:val="24"/>
          <w:szCs w:val="24"/>
          <w:lang w:val="fr-FR"/>
        </w:rPr>
      </w:pPr>
      <w:r w:rsidRPr="001D2D75">
        <w:rPr>
          <w:rFonts w:ascii="Calibri" w:hAnsi="Calibri" w:cs="Calibri"/>
          <w:b/>
          <w:sz w:val="24"/>
          <w:szCs w:val="24"/>
          <w:lang w:val="fr-FR"/>
        </w:rPr>
        <w:t>Ferblantiers, installateurs de sanitaires et chauffage, constructeurs d’installations de ventilation, aides en technique du bâtiment</w:t>
      </w:r>
    </w:p>
    <w:p w14:paraId="0EB99CC8" w14:textId="77777777" w:rsidR="0080433D" w:rsidRPr="001D2D75" w:rsidRDefault="0080433D" w:rsidP="0080433D">
      <w:pPr>
        <w:rPr>
          <w:rFonts w:ascii="Calibri" w:hAnsi="Calibri" w:cs="Calibri"/>
          <w:lang w:val="fr-FR"/>
        </w:rPr>
      </w:pPr>
    </w:p>
    <w:p w14:paraId="01C06493" w14:textId="77777777" w:rsidR="0080433D" w:rsidRPr="001D2D75" w:rsidRDefault="0080433D" w:rsidP="0080433D">
      <w:pPr>
        <w:rPr>
          <w:rFonts w:ascii="Calibri" w:hAnsi="Calibri" w:cs="Calibri"/>
          <w:b/>
          <w:bCs/>
          <w:lang w:val="fr-FR"/>
        </w:rPr>
      </w:pPr>
      <w:proofErr w:type="gramStart"/>
      <w:r w:rsidRPr="001D2D75">
        <w:rPr>
          <w:rFonts w:ascii="Calibri" w:hAnsi="Calibri" w:cs="Calibri"/>
          <w:b/>
          <w:bCs/>
          <w:lang w:val="fr-FR"/>
        </w:rPr>
        <w:t>Objectif:</w:t>
      </w:r>
      <w:proofErr w:type="gramEnd"/>
      <w:r w:rsidRPr="001D2D75">
        <w:rPr>
          <w:rFonts w:ascii="Calibri" w:hAnsi="Calibri" w:cs="Calibri"/>
          <w:b/>
          <w:bCs/>
          <w:lang w:val="fr-FR"/>
        </w:rPr>
        <w:t xml:space="preserve"> La personne en travail temporaire connaît les dangers les plus importants au poste de travail </w:t>
      </w:r>
    </w:p>
    <w:p w14:paraId="4CDF0C8E" w14:textId="77777777" w:rsidR="0080433D" w:rsidRDefault="0080433D" w:rsidP="0080433D">
      <w:pPr>
        <w:rPr>
          <w:rFonts w:ascii="Calibri" w:hAnsi="Calibri" w:cs="Calibri"/>
        </w:rPr>
      </w:pPr>
      <w:r w:rsidRPr="001D2D75">
        <w:rPr>
          <w:rFonts w:ascii="Calibri" w:hAnsi="Calibri" w:cs="Calibri"/>
          <w:lang w:val="fr-FR"/>
        </w:rPr>
        <w:t xml:space="preserve">Le responsable du chantier doit assurer que la personne en travail temporaire connaît les règles de sécurité les plus importantes au poste de travail. </w:t>
      </w:r>
      <w:r>
        <w:rPr>
          <w:rFonts w:ascii="Calibri" w:hAnsi="Calibri" w:cs="Calibri"/>
        </w:rPr>
        <w:t xml:space="preserve">Font </w:t>
      </w:r>
      <w:proofErr w:type="spellStart"/>
      <w:r>
        <w:rPr>
          <w:rFonts w:ascii="Calibri" w:hAnsi="Calibri" w:cs="Calibri"/>
        </w:rPr>
        <w:t>partie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d’une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introduction</w:t>
      </w:r>
      <w:proofErr w:type="spellEnd"/>
      <w:r>
        <w:rPr>
          <w:rFonts w:ascii="Calibri" w:hAnsi="Calibri" w:cs="Calibri"/>
        </w:rPr>
        <w:t xml:space="preserve"> minimale </w:t>
      </w:r>
      <w:proofErr w:type="spellStart"/>
      <w:r>
        <w:rPr>
          <w:rFonts w:ascii="Calibri" w:hAnsi="Calibri" w:cs="Calibri"/>
        </w:rPr>
        <w:t>sur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chantier</w:t>
      </w:r>
      <w:proofErr w:type="spellEnd"/>
      <w:r>
        <w:rPr>
          <w:rFonts w:ascii="Calibri" w:hAnsi="Calibri" w:cs="Calibri"/>
        </w:rPr>
        <w:t xml:space="preserve">: </w:t>
      </w:r>
    </w:p>
    <w:p w14:paraId="23F1836C" w14:textId="77777777" w:rsidR="0080433D" w:rsidRPr="001D2D75" w:rsidRDefault="0080433D" w:rsidP="0080433D">
      <w:pPr>
        <w:pStyle w:val="Listenabsatz"/>
        <w:numPr>
          <w:ilvl w:val="0"/>
          <w:numId w:val="25"/>
        </w:numPr>
        <w:spacing w:before="20" w:after="20" w:line="280" w:lineRule="exact"/>
        <w:rPr>
          <w:rFonts w:ascii="Calibri" w:hAnsi="Calibri" w:cs="Calibri"/>
          <w:lang w:val="fr-FR"/>
        </w:rPr>
      </w:pPr>
      <w:proofErr w:type="gramStart"/>
      <w:r w:rsidRPr="001D2D75">
        <w:rPr>
          <w:rFonts w:ascii="Calibri" w:hAnsi="Calibri" w:cs="Calibri"/>
          <w:lang w:val="fr-FR"/>
        </w:rPr>
        <w:t>une</w:t>
      </w:r>
      <w:proofErr w:type="gramEnd"/>
      <w:r w:rsidRPr="001D2D75">
        <w:rPr>
          <w:rFonts w:ascii="Calibri" w:hAnsi="Calibri" w:cs="Calibri"/>
          <w:lang w:val="fr-FR"/>
        </w:rPr>
        <w:t xml:space="preserve"> introduction à l’organisation de la sécurité sur le chantier</w:t>
      </w:r>
    </w:p>
    <w:p w14:paraId="034B9CEE" w14:textId="77777777" w:rsidR="0080433D" w:rsidRPr="001D2D75" w:rsidRDefault="0080433D" w:rsidP="0080433D">
      <w:pPr>
        <w:pStyle w:val="Listenabsatz"/>
        <w:numPr>
          <w:ilvl w:val="0"/>
          <w:numId w:val="25"/>
        </w:numPr>
        <w:spacing w:before="20" w:after="20" w:line="280" w:lineRule="exact"/>
        <w:rPr>
          <w:rFonts w:ascii="Calibri" w:hAnsi="Calibri" w:cs="Calibri"/>
          <w:lang w:val="fr-FR"/>
        </w:rPr>
      </w:pPr>
      <w:proofErr w:type="gramStart"/>
      <w:r w:rsidRPr="001D2D75">
        <w:rPr>
          <w:rFonts w:ascii="Calibri" w:hAnsi="Calibri" w:cs="Calibri"/>
          <w:lang w:val="fr-FR"/>
        </w:rPr>
        <w:t>une</w:t>
      </w:r>
      <w:proofErr w:type="gramEnd"/>
      <w:r w:rsidRPr="001D2D75">
        <w:rPr>
          <w:rFonts w:ascii="Calibri" w:hAnsi="Calibri" w:cs="Calibri"/>
          <w:lang w:val="fr-FR"/>
        </w:rPr>
        <w:t xml:space="preserve"> instruction des règles de sécurité les plus importantes</w:t>
      </w:r>
    </w:p>
    <w:p w14:paraId="06D01002" w14:textId="77777777" w:rsidR="0080433D" w:rsidRPr="001D2D75" w:rsidRDefault="0080433D" w:rsidP="0080433D">
      <w:pPr>
        <w:rPr>
          <w:rFonts w:ascii="Calibri" w:hAnsi="Calibri" w:cs="Calibri"/>
          <w:lang w:val="fr-FR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527"/>
        <w:gridCol w:w="6970"/>
        <w:gridCol w:w="1574"/>
      </w:tblGrid>
      <w:tr w:rsidR="0080433D" w14:paraId="63BA1BA3" w14:textId="77777777" w:rsidTr="004B2391">
        <w:tc>
          <w:tcPr>
            <w:tcW w:w="5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702E362" w14:textId="77777777" w:rsidR="0080433D" w:rsidRDefault="0080433D" w:rsidP="004B2391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4DA2273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  <w:r w:rsidRPr="001D2D75">
              <w:rPr>
                <w:rFonts w:ascii="Calibri" w:hAnsi="Calibri" w:cs="Calibri"/>
                <w:b/>
                <w:bCs/>
                <w:lang w:val="fr-FR"/>
              </w:rPr>
              <w:t>Introduction à l’organisation de la sécurité sur le chantier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F686A11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Achevé</w:t>
            </w:r>
            <w:proofErr w:type="spellEnd"/>
          </w:p>
        </w:tc>
      </w:tr>
      <w:tr w:rsidR="0080433D" w14:paraId="10DDBAF2" w14:textId="77777777" w:rsidTr="004B2391"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75C33A04" w14:textId="77777777" w:rsidR="0080433D" w:rsidRDefault="0080433D" w:rsidP="004B2391">
            <w:pPr>
              <w:spacing w:before="60" w:after="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5D95AAAE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Désignation de la personne de contact pour les questions de sécurité sur le chantier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51C1BF89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0433D" w14:paraId="49F00F88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599707" w14:textId="77777777" w:rsidR="0080433D" w:rsidRDefault="0080433D" w:rsidP="004B2391">
            <w:pPr>
              <w:spacing w:before="60" w:after="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1.2</w:t>
            </w:r>
          </w:p>
        </w:tc>
        <w:tc>
          <w:tcPr>
            <w:tcW w:w="79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903BB76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Lieu de stockage du matériel de premiers secours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F3B887E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0433D" w14:paraId="257415FC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990B25E" w14:textId="77777777" w:rsidR="0080433D" w:rsidRDefault="0080433D" w:rsidP="004B2391">
            <w:pPr>
              <w:spacing w:before="60" w:after="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1,3</w:t>
            </w:r>
          </w:p>
        </w:tc>
        <w:tc>
          <w:tcPr>
            <w:tcW w:w="79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F179172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Règlement de l’alarme en cas d’urgence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6339F54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0433D" w14:paraId="6F74F036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17C2E6C" w14:textId="77777777" w:rsidR="0080433D" w:rsidRDefault="0080433D" w:rsidP="004B2391">
            <w:pPr>
              <w:spacing w:before="60" w:after="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1.4</w:t>
            </w:r>
          </w:p>
        </w:tc>
        <w:tc>
          <w:tcPr>
            <w:tcW w:w="79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40DE92F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bCs/>
                <w:lang w:val="fr-FR"/>
              </w:rPr>
            </w:pPr>
            <w:r w:rsidRPr="001D2D75">
              <w:rPr>
                <w:rFonts w:ascii="Calibri" w:hAnsi="Calibri" w:cs="Calibri"/>
                <w:bCs/>
                <w:lang w:val="fr-FR"/>
              </w:rPr>
              <w:t>Désigner le point de rassemblement en cas d’alarme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4B784F7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0433D" w14:paraId="4F8684A6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4304AD0" w14:textId="77777777" w:rsidR="0080433D" w:rsidRDefault="0080433D" w:rsidP="004B2391">
            <w:pPr>
              <w:spacing w:before="60" w:after="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1.5</w:t>
            </w:r>
          </w:p>
        </w:tc>
        <w:tc>
          <w:tcPr>
            <w:tcW w:w="79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BB30FDC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Règlement relatif à l’alcool et les substances addictives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F746655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</w:p>
        </w:tc>
      </w:tr>
    </w:tbl>
    <w:p w14:paraId="769BAFDD" w14:textId="77777777" w:rsidR="0080433D" w:rsidRDefault="0080433D" w:rsidP="0080433D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528"/>
        <w:gridCol w:w="5275"/>
        <w:gridCol w:w="1729"/>
        <w:gridCol w:w="1539"/>
      </w:tblGrid>
      <w:tr w:rsidR="0080433D" w:rsidRPr="0080433D" w14:paraId="6E582148" w14:textId="77777777" w:rsidTr="004B2391">
        <w:tc>
          <w:tcPr>
            <w:tcW w:w="5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DB6B023" w14:textId="77777777" w:rsidR="0080433D" w:rsidRDefault="0080433D" w:rsidP="004B2391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4901C7B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b/>
                <w:lang w:val="fr-FR"/>
              </w:rPr>
            </w:pPr>
            <w:r w:rsidRPr="001D2D75">
              <w:rPr>
                <w:rFonts w:ascii="Calibri" w:hAnsi="Calibri" w:cs="Calibri"/>
                <w:b/>
                <w:lang w:val="fr-FR"/>
              </w:rPr>
              <w:t>Questionner sur les règles de sécurité les plus importantes (instruction, si nécessaire)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A19EDB" w14:textId="77777777" w:rsidR="0080433D" w:rsidRPr="001D2D75" w:rsidRDefault="0080433D" w:rsidP="004B2391">
            <w:pPr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80433D" w14:paraId="6EB9BAFA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601AC4F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493C34EE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Passeport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sécurité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existant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C76D52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□ </w:t>
            </w:r>
            <w:proofErr w:type="gramStart"/>
            <w:r>
              <w:rPr>
                <w:rFonts w:ascii="Calibri" w:hAnsi="Calibri" w:cs="Calibri"/>
              </w:rPr>
              <w:t>Oui  /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□ </w:t>
            </w:r>
            <w:r>
              <w:rPr>
                <w:rFonts w:ascii="Calibri" w:hAnsi="Calibri" w:cs="Calibri"/>
              </w:rPr>
              <w:t>Non</w:t>
            </w:r>
          </w:p>
        </w:tc>
      </w:tr>
      <w:tr w:rsidR="0080433D" w14:paraId="2BA99306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6470101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4CFE6AB0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Formation Équipement de protection individuelle contre les chutes de hauteur (</w:t>
            </w:r>
            <w:proofErr w:type="spellStart"/>
            <w:r w:rsidRPr="001D2D75">
              <w:rPr>
                <w:rFonts w:ascii="Calibri" w:hAnsi="Calibri" w:cs="Calibri"/>
                <w:lang w:val="fr-FR"/>
              </w:rPr>
              <w:t>Epich</w:t>
            </w:r>
            <w:proofErr w:type="spellEnd"/>
            <w:r w:rsidRPr="001D2D75">
              <w:rPr>
                <w:rFonts w:ascii="Calibri" w:hAnsi="Calibri" w:cs="Calibri"/>
                <w:lang w:val="fr-FR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74FCE48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□ </w:t>
            </w:r>
            <w:proofErr w:type="gramStart"/>
            <w:r>
              <w:rPr>
                <w:rFonts w:ascii="Calibri" w:hAnsi="Calibri" w:cs="Calibri"/>
              </w:rPr>
              <w:t>Oui  /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□ </w:t>
            </w:r>
            <w:r>
              <w:rPr>
                <w:rFonts w:ascii="Calibri" w:hAnsi="Calibri" w:cs="Calibri"/>
              </w:rPr>
              <w:t>Non</w:t>
            </w:r>
          </w:p>
        </w:tc>
      </w:tr>
      <w:tr w:rsidR="0080433D" w14:paraId="42FF7E20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37A121E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D15C093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Instruction des règles vitales Techniques du bâtiment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689794D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□</w:t>
            </w:r>
          </w:p>
        </w:tc>
      </w:tr>
      <w:tr w:rsidR="0080433D" w14:paraId="766A7644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E9674D4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4D0CD5BC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Utilisation Obligation de port de casque et de l’équipement de protection individuelle (EPI)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0707CA5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0433D" w14:paraId="4EF6B997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D4814F9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1598D05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Voies de circulation – Inégalités du sol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383B655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0433D" w14:paraId="34E67EED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A3AAB92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7D4F872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Les ouvertures du sol et des murs doivent être obturées ou délimitées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04C29A4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0433D" w14:paraId="6AE6AE70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9A017CD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DBDD4CF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Protection latérale pour les postes de travail et les voies de circulation à plus de 2 mètres de hauteur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699F206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0433D" w14:paraId="65852C70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EBEEBDC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D6B236C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Obligation d’échafaudage de façade à partir de hauteur de bâtiment de 3 mètres (hauteur de chute)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23AD188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0433D" w14:paraId="17CA9FCC" w14:textId="77777777" w:rsidTr="004B2391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106C351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B7FD337" w14:textId="77777777" w:rsidR="0080433D" w:rsidRPr="001D2D75" w:rsidRDefault="0080433D" w:rsidP="004B2391">
            <w:pPr>
              <w:spacing w:before="60" w:after="60"/>
              <w:rPr>
                <w:rFonts w:ascii="Calibri" w:hAnsi="Calibri" w:cs="Calibri"/>
                <w:lang w:val="fr-FR"/>
              </w:rPr>
            </w:pPr>
            <w:r w:rsidRPr="001D2D75">
              <w:rPr>
                <w:rFonts w:ascii="Calibri" w:hAnsi="Calibri" w:cs="Calibri"/>
                <w:lang w:val="fr-FR"/>
              </w:rPr>
              <w:t>Travaux avec meuleuse/</w:t>
            </w:r>
            <w:proofErr w:type="spellStart"/>
            <w:r w:rsidRPr="001D2D75">
              <w:rPr>
                <w:rFonts w:ascii="Calibri" w:hAnsi="Calibri" w:cs="Calibri"/>
                <w:lang w:val="fr-FR"/>
              </w:rPr>
              <w:t>flex</w:t>
            </w:r>
            <w:proofErr w:type="spellEnd"/>
            <w:r w:rsidRPr="001D2D75">
              <w:rPr>
                <w:rFonts w:ascii="Calibri" w:hAnsi="Calibri" w:cs="Calibri"/>
                <w:lang w:val="fr-FR"/>
              </w:rPr>
              <w:t xml:space="preserve"> uniquement avec EPI et protection montée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1D6C830" w14:textId="77777777" w:rsidR="0080433D" w:rsidRDefault="0080433D" w:rsidP="004B2391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0433D" w14:paraId="6735BF44" w14:textId="77777777" w:rsidTr="004B2391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11E17" w14:textId="77777777" w:rsidR="0080433D" w:rsidRDefault="0080433D" w:rsidP="004B2391">
            <w:pPr>
              <w:spacing w:before="60" w:after="60"/>
              <w:rPr>
                <w:rFonts w:ascii="Calibri" w:hAnsi="Calibri" w:cs="Calibri"/>
                <w:b/>
              </w:rPr>
            </w:pPr>
          </w:p>
          <w:p w14:paraId="4FCC2F0C" w14:textId="77777777" w:rsidR="0080433D" w:rsidRDefault="0080433D" w:rsidP="004B2391">
            <w:pPr>
              <w:spacing w:before="60" w:after="6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Confirmation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d’exécution</w:t>
            </w:r>
            <w:proofErr w:type="spellEnd"/>
            <w:r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80433D" w14:paraId="67181205" w14:textId="77777777" w:rsidTr="004B2391">
        <w:tc>
          <w:tcPr>
            <w:tcW w:w="648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3F780BA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Société/</w:t>
            </w:r>
            <w:proofErr w:type="spellStart"/>
            <w:r>
              <w:rPr>
                <w:rFonts w:ascii="Calibri" w:hAnsi="Calibri" w:cs="Calibri"/>
              </w:rPr>
              <w:t>supérieur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hiérarchique</w:t>
            </w:r>
            <w:proofErr w:type="spellEnd"/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9121E10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</w:tr>
      <w:tr w:rsidR="0080433D" w14:paraId="339B5ABD" w14:textId="77777777" w:rsidTr="004B2391">
        <w:tc>
          <w:tcPr>
            <w:tcW w:w="648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1782B3A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Personne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instruite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A1F08A5" w14:textId="77777777" w:rsidR="0080433D" w:rsidRDefault="0080433D" w:rsidP="004B2391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Date:</w:t>
            </w:r>
          </w:p>
        </w:tc>
      </w:tr>
    </w:tbl>
    <w:p w14:paraId="69F4D25C" w14:textId="77777777" w:rsidR="0080433D" w:rsidRDefault="0080433D" w:rsidP="0080433D">
      <w:pPr>
        <w:rPr>
          <w:rFonts w:ascii="Calibri" w:hAnsi="Calibri" w:cs="Calibri"/>
        </w:rPr>
      </w:pPr>
    </w:p>
    <w:p w14:paraId="7EC54C6C" w14:textId="77777777" w:rsidR="007C49D5" w:rsidRPr="0080433D" w:rsidRDefault="007C49D5" w:rsidP="0080433D"/>
    <w:sectPr w:rsidR="007C49D5" w:rsidRPr="0080433D" w:rsidSect="004D4C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4867" w14:textId="77777777" w:rsidR="00BD361B" w:rsidRDefault="00BD361B" w:rsidP="00D25D76">
      <w:r>
        <w:separator/>
      </w:r>
    </w:p>
    <w:p w14:paraId="1D154A86" w14:textId="77777777" w:rsidR="00BD361B" w:rsidRDefault="00BD361B" w:rsidP="00D25D76"/>
  </w:endnote>
  <w:endnote w:type="continuationSeparator" w:id="0">
    <w:p w14:paraId="16525A39" w14:textId="77777777" w:rsidR="00BD361B" w:rsidRDefault="00BD361B" w:rsidP="00D25D76">
      <w:r>
        <w:continuationSeparator/>
      </w:r>
    </w:p>
    <w:p w14:paraId="705C090E" w14:textId="77777777" w:rsidR="00BD361B" w:rsidRDefault="00BD361B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6B14" w14:textId="77777777" w:rsidR="002A6D02" w:rsidRDefault="002A6D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6C23B829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4pt;height:18.6pt;mso-width-percent:0;mso-height-percent:0;mso-width-percent:0;mso-height-percent:0">
          <v:imagedata r:id="rId1" o:title=""/>
        </v:shape>
        <o:OLEObject Type="Embed" ProgID="Word.Template.12" ShapeID="_x0000_i1025" DrawAspect="Content" ObjectID="_1697356289" r:id="rId2"/>
      </w:object>
    </w:r>
    <w:r w:rsidR="002A6D02">
      <w:rPr>
        <w:rFonts w:ascii="Lota Grotesque Alt 1" w:hAnsi="Lota Grotesque Alt 1"/>
        <w:noProof/>
      </w:rPr>
      <w:fldChar w:fldCharType="begin"/>
    </w:r>
    <w:r w:rsidR="002A6D02">
      <w:rPr>
        <w:rFonts w:ascii="Lota Grotesque Alt 1" w:hAnsi="Lota Grotesque Alt 1"/>
        <w:noProof/>
      </w:rPr>
      <w:instrText xml:space="preserve"> SAVEDATE  \@ "yyMM-ddHH"  \* MERGEFORMAT </w:instrText>
    </w:r>
    <w:r w:rsidR="002A6D02">
      <w:rPr>
        <w:rFonts w:ascii="Lota Grotesque Alt 1" w:hAnsi="Lota Grotesque Alt 1"/>
        <w:noProof/>
      </w:rPr>
      <w:fldChar w:fldCharType="separate"/>
    </w:r>
    <w:r w:rsidR="002A6D02">
      <w:rPr>
        <w:rFonts w:ascii="Lota Grotesque Alt 1" w:hAnsi="Lota Grotesque Alt 1"/>
        <w:noProof/>
      </w:rPr>
      <w:t>2106-1109</w:t>
    </w:r>
    <w:r w:rsidR="002A6D0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</w:t>
    </w:r>
    <w:proofErr w:type="spellStart"/>
    <w:r w:rsidR="00473900" w:rsidRPr="008E5AE9">
      <w:rPr>
        <w:lang w:val="en-US"/>
      </w:rPr>
      <w:t>Longues</w:t>
    </w:r>
    <w:proofErr w:type="spellEnd"/>
    <w:r w:rsidR="00473900" w:rsidRPr="008E5AE9">
      <w:rPr>
        <w:lang w:val="en-US"/>
      </w:rPr>
      <w:t xml:space="preserve"> </w:t>
    </w:r>
    <w:proofErr w:type="spellStart"/>
    <w:r w:rsidR="00473900" w:rsidRPr="008E5AE9">
      <w:rPr>
        <w:lang w:val="en-US"/>
      </w:rPr>
      <w:t>Raies</w:t>
    </w:r>
    <w:proofErr w:type="spellEnd"/>
    <w:r w:rsidR="00473900" w:rsidRPr="008E5AE9">
      <w:rPr>
        <w:lang w:val="en-US"/>
      </w:rPr>
      <w:t xml:space="preserve"> 11, </w:t>
    </w:r>
    <w:r w:rsidR="00473900">
      <w:rPr>
        <w:lang w:val="en-US"/>
      </w:rPr>
      <w:t>c</w:t>
    </w:r>
    <w:r w:rsidR="00473900" w:rsidRPr="008E5AE9">
      <w:rPr>
        <w:lang w:val="en-US"/>
      </w:rPr>
      <w:t xml:space="preserve">ase </w:t>
    </w:r>
    <w:proofErr w:type="spellStart"/>
    <w:r w:rsidR="00473900" w:rsidRPr="008E5AE9">
      <w:rPr>
        <w:lang w:val="en-US"/>
      </w:rPr>
      <w:t>postale</w:t>
    </w:r>
    <w:proofErr w:type="spellEnd"/>
    <w:r w:rsidR="00473900" w:rsidRPr="008E5AE9">
      <w:rPr>
        <w:lang w:val="en-US"/>
      </w:rPr>
      <w:t xml:space="preserve">, CH-2013 </w:t>
    </w:r>
    <w:proofErr w:type="spellStart"/>
    <w:r w:rsidR="00473900" w:rsidRPr="008E5AE9">
      <w:rPr>
        <w:lang w:val="en-US"/>
      </w:rPr>
      <w:t>Colombier</w:t>
    </w:r>
    <w:proofErr w:type="spellEnd"/>
    <w:r w:rsidR="00473900" w:rsidRPr="008E5AE9">
      <w:rPr>
        <w:lang w:val="en-US"/>
      </w:rPr>
      <w:t>, +41 32 843 49 50,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AE71" w14:textId="77777777" w:rsidR="00BD361B" w:rsidRDefault="00BD361B" w:rsidP="00D25D76">
      <w:r>
        <w:separator/>
      </w:r>
    </w:p>
    <w:p w14:paraId="5EA029AC" w14:textId="77777777" w:rsidR="00BD361B" w:rsidRDefault="00BD361B" w:rsidP="00D25D76"/>
  </w:footnote>
  <w:footnote w:type="continuationSeparator" w:id="0">
    <w:p w14:paraId="57D1F133" w14:textId="77777777" w:rsidR="00BD361B" w:rsidRDefault="00BD361B" w:rsidP="00D25D76">
      <w:r>
        <w:continuationSeparator/>
      </w:r>
    </w:p>
    <w:p w14:paraId="2C1F0D9E" w14:textId="77777777" w:rsidR="00BD361B" w:rsidRDefault="00BD361B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2170" w14:textId="77777777" w:rsidR="002A6D02" w:rsidRDefault="002A6D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81991"/>
    <w:multiLevelType w:val="hybridMultilevel"/>
    <w:tmpl w:val="263EA6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A404B4"/>
    <w:multiLevelType w:val="multilevel"/>
    <w:tmpl w:val="2F0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90615D"/>
    <w:multiLevelType w:val="multilevel"/>
    <w:tmpl w:val="13A052FA"/>
    <w:numStyleLink w:val="aufzhlung"/>
  </w:abstractNum>
  <w:abstractNum w:abstractNumId="14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C9519F"/>
    <w:multiLevelType w:val="hybridMultilevel"/>
    <w:tmpl w:val="163C4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4E1061"/>
    <w:multiLevelType w:val="hybridMultilevel"/>
    <w:tmpl w:val="0CBE3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4"/>
  </w:num>
  <w:num w:numId="5">
    <w:abstractNumId w:val="11"/>
  </w:num>
  <w:num w:numId="6">
    <w:abstractNumId w:val="7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3"/>
  </w:num>
  <w:num w:numId="17">
    <w:abstractNumId w:val="20"/>
  </w:num>
  <w:num w:numId="18">
    <w:abstractNumId w:val="16"/>
  </w:num>
  <w:num w:numId="19">
    <w:abstractNumId w:val="12"/>
  </w:num>
  <w:num w:numId="20">
    <w:abstractNumId w:val="9"/>
  </w:num>
  <w:num w:numId="21">
    <w:abstractNumId w:val="19"/>
  </w:num>
  <w:num w:numId="22">
    <w:abstractNumId w:val="15"/>
  </w:num>
  <w:num w:numId="23">
    <w:abstractNumId w:val="8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186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A6D02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433D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07EA7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03810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27658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361B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47B76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21E3"/>
    <w:rsid w:val="00DB412A"/>
    <w:rsid w:val="00DB6E6E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17B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  <w:style w:type="paragraph" w:styleId="KeinLeerraum">
    <w:name w:val="No Spacing"/>
    <w:uiPriority w:val="1"/>
    <w:qFormat/>
    <w:rsid w:val="00907EA7"/>
    <w:rPr>
      <w:rFonts w:ascii="Calibri" w:eastAsia="Calibri" w:hAnsi="Calibri"/>
      <w:sz w:val="22"/>
      <w:szCs w:val="22"/>
      <w:lang w:val="fr-CH" w:eastAsia="en-US"/>
    </w:rPr>
  </w:style>
  <w:style w:type="character" w:customStyle="1" w:styleId="apple-converted-space">
    <w:name w:val="apple-converted-space"/>
    <w:basedOn w:val="Absatz-Standardschriftart"/>
    <w:rsid w:val="00907EA7"/>
  </w:style>
  <w:style w:type="paragraph" w:customStyle="1" w:styleId="Default">
    <w:name w:val="Default"/>
    <w:rsid w:val="0080433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5B446-3EF6-49DB-A103-8523E88518E4}"/>
</file>

<file path=customXml/itemProps4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1926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3</cp:revision>
  <cp:lastPrinted>2020-06-26T04:41:00Z</cp:lastPrinted>
  <dcterms:created xsi:type="dcterms:W3CDTF">2021-04-06T08:52:00Z</dcterms:created>
  <dcterms:modified xsi:type="dcterms:W3CDTF">2021-11-02T10:05:00Z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